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6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7" w:type="dxa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000"/>
      </w:tblPr>
      <w:tblGrid>
        <w:gridCol w:w="9319"/>
      </w:tblGrid>
      <w:tr w:rsidR="00000000">
        <w:trPr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 Action CA16101</w:t>
            </w:r>
          </w:p>
        </w:tc>
      </w:tr>
      <w:tr w:rsidR="00000000">
        <w:trPr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 Title: MULTI-modal Imaging of FOREnsic SciEnce Evidence - tools for Forensic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00000">
        <w:trPr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Draft Agenda</w:t>
            </w:r>
          </w:p>
        </w:tc>
      </w:tr>
      <w:tr w:rsidR="00000000">
        <w:trPr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Management Committee Meeting</w:t>
            </w:r>
          </w:p>
        </w:tc>
      </w:tr>
      <w:tr w:rsidR="00000000">
        <w:trPr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Krakow, Poland</w:t>
            </w:r>
          </w:p>
        </w:tc>
      </w:tr>
      <w:tr w:rsidR="00000000">
        <w:trPr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 6 November 2017 to 6 November 2017</w:t>
            </w:r>
          </w:p>
        </w:tc>
      </w:tr>
    </w:tbl>
    <w:p w:rsidR="00000000" w:rsidRDefault="00276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47" w:type="dxa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000"/>
      </w:tblPr>
      <w:tblGrid>
        <w:gridCol w:w="9319"/>
      </w:tblGrid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1. Welcome to participants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2. Verification of the presence of two-thirds of the Participating COST Countries or, if applicable, a  </w:t>
            </w:r>
            <w:r>
              <w:rPr>
                <w:rFonts w:ascii="Arial" w:hAnsi="Arial" w:cs="Arial"/>
                <w:color w:val="56585B"/>
                <w:sz w:val="20"/>
                <w:szCs w:val="20"/>
              </w:rPr>
              <w:br/>
              <w:t xml:space="preserve">   quorum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3. Adoption of agenda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4. Approval of minutes and matters arising of last meeting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5. Update from the Action Chair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a) Status of Action:</w:t>
            </w: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start and end dates of Action, participating COST countries, participating NNC/ </w:t>
            </w:r>
            <w:r>
              <w:rPr>
                <w:rFonts w:ascii="Arial" w:hAnsi="Arial" w:cs="Arial"/>
                <w:color w:val="56585B"/>
                <w:sz w:val="20"/>
                <w:szCs w:val="20"/>
              </w:rPr>
              <w:br/>
              <w:t xml:space="preserve">       IPC institutions and Specific Organisations.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b) Short Term Scientific Missions (STSM): review of completed reports and new applications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6. Update from the Grant </w:t>
            </w:r>
            <w:r>
              <w:rPr>
                <w:rFonts w:ascii="Arial" w:hAnsi="Arial" w:cs="Arial"/>
                <w:color w:val="56585B"/>
                <w:sz w:val="20"/>
                <w:szCs w:val="20"/>
              </w:rPr>
              <w:t>Holder: Action budget status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7. Update from the COST Association, if a representative is present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8. Monitoring of the Action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9. Implementation of COST policies on: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a) Promotion of gender balance and Early Career Investigators (ECI)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b)</w:t>
            </w: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Inclusiveness and Excellence (see below list of Inclusiveness Target Countries)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10. Follow-up of MoU objectives: progress report of working groups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11. Scientific planning 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a) Scientific strategy (MoU objectives, GP Goals, WG tasks and deliverables)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b) Action Budget Planning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c) Long-term planning (including anticipated locations and dates of future activities)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d) Dissemination planning (Publications and outreach activities)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12. Requests to join the Action from: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a) COST countries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 xml:space="preserve">    b) Institutions in Near Neighbouring Countries, International Partner Countries, and/or Specific  </w:t>
            </w:r>
            <w:r>
              <w:rPr>
                <w:rFonts w:ascii="Arial" w:hAnsi="Arial" w:cs="Arial"/>
                <w:color w:val="56585B"/>
                <w:sz w:val="20"/>
                <w:szCs w:val="20"/>
              </w:rPr>
              <w:br/>
              <w:t xml:space="preserve">       Organisations: EU agencies, European RTD Organisation, International Organisations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13. AOB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14. Location and date of next meeting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15. Summary of MC decisions</w:t>
            </w:r>
          </w:p>
        </w:tc>
      </w:tr>
      <w:tr w:rsidR="00000000">
        <w:trPr>
          <w:cantSplit/>
          <w:trHeight w:val="1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1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6585B"/>
                <w:sz w:val="20"/>
                <w:szCs w:val="20"/>
              </w:rPr>
              <w:t>16. Closing</w:t>
            </w:r>
          </w:p>
        </w:tc>
      </w:tr>
    </w:tbl>
    <w:p w:rsidR="0027619B" w:rsidRDefault="00276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7619B">
      <w:headerReference w:type="default" r:id="rId6"/>
      <w:footerReference w:type="default" r:id="rId7"/>
      <w:pgSz w:w="11907" w:h="16840"/>
      <w:pgMar w:top="1985" w:right="1134" w:bottom="25" w:left="1418" w:header="0" w:footer="113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9B" w:rsidRDefault="0027619B" w:rsidP="00673BF3">
      <w:pPr>
        <w:spacing w:after="0" w:line="240" w:lineRule="auto"/>
      </w:pPr>
      <w:r>
        <w:separator/>
      </w:r>
    </w:p>
  </w:endnote>
  <w:endnote w:type="continuationSeparator" w:id="0">
    <w:p w:rsidR="0027619B" w:rsidRDefault="0027619B" w:rsidP="0067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619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825798">
      <w:rPr>
        <w:rFonts w:ascii="Arial" w:hAnsi="Arial" w:cs="Arial"/>
        <w:noProof/>
        <w:sz w:val="20"/>
        <w:szCs w:val="20"/>
      </w:rPr>
      <w:drawing>
        <wp:anchor distT="180020" distB="180020" distL="180020" distR="180020" simplePos="0" relativeHeight="251662336" behindDoc="1" locked="0" layoutInCell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560945" cy="1440180"/>
          <wp:effectExtent l="1905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40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9B" w:rsidRDefault="0027619B" w:rsidP="00673BF3">
      <w:pPr>
        <w:spacing w:after="0" w:line="240" w:lineRule="auto"/>
      </w:pPr>
      <w:r>
        <w:separator/>
      </w:r>
    </w:p>
  </w:footnote>
  <w:footnote w:type="continuationSeparator" w:id="0">
    <w:p w:rsidR="0027619B" w:rsidRDefault="0027619B" w:rsidP="0067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619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825798">
      <w:rPr>
        <w:noProof/>
      </w:rPr>
      <w:drawing>
        <wp:anchor distT="180020" distB="180020" distL="180020" distR="180020" simplePos="0" relativeHeight="251660288" behindDoc="1" locked="0" layoutInCell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560945" cy="1800225"/>
          <wp:effectExtent l="1905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798"/>
    <w:rsid w:val="0027619B"/>
    <w:rsid w:val="0082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report</dc:title>
  <dc:creator>www.cost.eu</dc:creator>
  <cp:lastModifiedBy>simona</cp:lastModifiedBy>
  <cp:revision>2</cp:revision>
  <dcterms:created xsi:type="dcterms:W3CDTF">2017-11-27T20:45:00Z</dcterms:created>
  <dcterms:modified xsi:type="dcterms:W3CDTF">2017-11-27T20:45:00Z</dcterms:modified>
</cp:coreProperties>
</file>